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E20691">
            <w:tc>
              <w:tcPr>
                <w:tcW w:w="4672" w:type="dxa"/>
                <w:shd w:val="clear" w:color="auto" w:fill="auto"/>
              </w:tcPr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F902E1" w:rsidRPr="00E20691" w:rsidRDefault="00E20691" w:rsidP="00E20691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 w:rsidRPr="00E20691"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Харламова Ю.Д.</w:t>
                </w:r>
              </w:p>
              <w:p w:rsidR="00E961FB" w:rsidRPr="00E961FB" w:rsidRDefault="00F902E1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 xml:space="preserve"> </w:t>
                </w:r>
                <w:r w:rsidR="00E961FB"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9F30720" wp14:editId="3B65260D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327188E1" wp14:editId="489CF68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57F1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Охрана труда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lastRenderedPageBreak/>
            <w:t xml:space="preserve">Комплект документов по охране труда компетенции </w:t>
          </w:r>
          <w:proofErr w:type="gramStart"/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« Охрана</w:t>
          </w:r>
          <w:proofErr w:type="gramEnd"/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 xml:space="preserve"> труда»</w:t>
          </w:r>
        </w:p>
        <w:p w:rsid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57F14" w:rsidRPr="00A57F14" w:rsidRDefault="00A57F14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E40497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A57F14" w:rsidP="00A57F14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0" w:name="_Toc507427594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охране труда и технике безопасности</w:t>
          </w:r>
          <w:bookmarkEnd w:id="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57F14" w:rsidRPr="00F902E1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9. Действия при возникновении чрезвычайной ситуации, ознакомление со схемой эвакуации и пожарными выходами.</w:t>
          </w:r>
          <w:bookmarkStart w:id="1" w:name="_Toc507427595"/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2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1.Общие требования охраны труда</w:t>
          </w:r>
          <w:bookmarkEnd w:id="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«Охрана труда»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до 14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«Охрана труда»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в возрасте от 14 до 18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«Охрана труда» по стандартам «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» допускаются участники не моложе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заходить за ограждения и в технические помещения;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8A999BD" wp14:editId="2D7BD09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01FCE32E" wp14:editId="5DA41E65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C2EFBDB" wp14:editId="3180F85F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3BC51912" wp14:editId="135FA919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57E6EA97" wp14:editId="50C279C6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3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2.3. Подготовить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оборудование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276"/>
            <w:gridCol w:w="6069"/>
          </w:tblGrid>
          <w:tr w:rsidR="00A57F14" w:rsidRPr="00A57F14" w:rsidTr="0056789C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57F14" w:rsidRPr="00A57F14" w:rsidTr="0056789C"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- отсутствие розеток и/или иных </w:t>
                </w:r>
                <w:proofErr w:type="gramStart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проводов  в</w:t>
                </w:r>
                <w:proofErr w:type="gramEnd"/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 зоне досягаемости;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A57F14" w:rsidRPr="00A57F14" w:rsidTr="0056789C"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4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65"/>
            <w:gridCol w:w="7280"/>
          </w:tblGrid>
          <w:tr w:rsidR="00A57F14" w:rsidRPr="00A57F14" w:rsidTr="0056789C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lastRenderedPageBreak/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3.2. При выполнении конкурсных заданий и уборке рабочих мест: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5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6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Убрать ноутбуки в специально предназначенное для хранений место.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7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7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8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8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«Охрана труда» допускаются Эксперты, прошедшие специальное обучение и не имеющие противопоказаний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зрительное перенапряжение при работе с ПК.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4FC66F61" wp14:editId="0AABBCE6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797A832A" wp14:editId="6C06EAA0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063EC71" wp14:editId="74728FAD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69FEDDE0" wp14:editId="7192C84B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 wp14:anchorId="271AD0FF" wp14:editId="4AD081E8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«Охрана труда»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1.8.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WorldSkills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Russia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а при необходимости согласно действующему законодательству.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9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lastRenderedPageBreak/>
            <w:t>3.Требования охраны труда во время работы</w:t>
          </w:r>
          <w:bookmarkEnd w:id="1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переключать разъемы интерфейсных кабелей периферийных устройств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вынимать застрявшие листы можно только после отключения устройства из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запрещается опираться на стекло </w:t>
          </w:r>
          <w:proofErr w:type="spell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оригиналодержателя</w:t>
          </w:r>
          <w:proofErr w:type="spell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, класть на него какие-либо вещи помимо оригинала;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пользоваться любой документацией кроме предусмотренной конкурсным заданием.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так же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сообщить о случившемся Техническому Эксперту. Работу продолжать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</w:t>
          </w:r>
          <w:proofErr w:type="gramStart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других экспертов</w:t>
          </w:r>
          <w:proofErr w:type="gramEnd"/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  <w:bookmarkStart w:id="13" w:name="_GoBack"/>
          <w:bookmarkEnd w:id="13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9D5F75" w:rsidRPr="00E20691" w:rsidRDefault="00A57F14" w:rsidP="00E20691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sectPr w:rsidR="009D5F75" w:rsidRPr="00E20691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497" w:rsidRDefault="00E40497" w:rsidP="004D6E23">
      <w:pPr>
        <w:spacing w:after="0" w:line="240" w:lineRule="auto"/>
      </w:pPr>
      <w:r>
        <w:separator/>
      </w:r>
    </w:p>
  </w:endnote>
  <w:endnote w:type="continuationSeparator" w:id="0">
    <w:p w:rsidR="00E40497" w:rsidRDefault="00E40497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5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64"/>
      <w:gridCol w:w="475"/>
    </w:tblGrid>
    <w:tr w:rsidR="004D6E23" w:rsidRPr="00832EBB" w:rsidTr="00E20691">
      <w:trPr>
        <w:trHeight w:hRule="exact" w:val="117"/>
        <w:jc w:val="center"/>
      </w:trPr>
      <w:tc>
        <w:tcPr>
          <w:tcW w:w="9164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475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E20691">
      <w:trPr>
        <w:trHeight w:val="427"/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64" w:type="dxa"/>
              <w:shd w:val="clear" w:color="auto" w:fill="auto"/>
              <w:vAlign w:val="center"/>
            </w:tcPr>
            <w:p w:rsidR="004D6E23" w:rsidRPr="009955F8" w:rsidRDefault="004D6E23" w:rsidP="00641DEA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641DEA">
                <w:rPr>
                  <w:rFonts w:ascii="Times New Roman" w:hAnsi="Times New Roman" w:cs="Times New Roman"/>
                  <w:sz w:val="18"/>
                  <w:szCs w:val="18"/>
                </w:rPr>
                <w:t>Охрана труда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475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E20691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497" w:rsidRDefault="00E40497" w:rsidP="004D6E23">
      <w:pPr>
        <w:spacing w:after="0" w:line="240" w:lineRule="auto"/>
      </w:pPr>
      <w:r>
        <w:separator/>
      </w:r>
    </w:p>
  </w:footnote>
  <w:footnote w:type="continuationSeparator" w:id="0">
    <w:p w:rsidR="00E40497" w:rsidRDefault="00E40497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1C54FC"/>
    <w:rsid w:val="00250F13"/>
    <w:rsid w:val="002C57E1"/>
    <w:rsid w:val="003E7D31"/>
    <w:rsid w:val="00415AA0"/>
    <w:rsid w:val="00435F60"/>
    <w:rsid w:val="004D6E23"/>
    <w:rsid w:val="00641DEA"/>
    <w:rsid w:val="00823846"/>
    <w:rsid w:val="009D5F75"/>
    <w:rsid w:val="00A57F14"/>
    <w:rsid w:val="00E20691"/>
    <w:rsid w:val="00E40497"/>
    <w:rsid w:val="00E961FB"/>
    <w:rsid w:val="00EA346E"/>
    <w:rsid w:val="00F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31E12F-D0C3-4D89-845C-455726E1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(Охрана труда)</dc:creator>
  <cp:keywords/>
  <dc:description/>
  <cp:lastModifiedBy>Пользователь2</cp:lastModifiedBy>
  <cp:revision>6</cp:revision>
  <cp:lastPrinted>2018-05-07T10:16:00Z</cp:lastPrinted>
  <dcterms:created xsi:type="dcterms:W3CDTF">2018-10-03T05:51:00Z</dcterms:created>
  <dcterms:modified xsi:type="dcterms:W3CDTF">2018-12-10T06:22:00Z</dcterms:modified>
</cp:coreProperties>
</file>